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24 20 vom 5. September 2025</w:t>
      </w:r>
    </w:p>
    <w:p>
      <w:r>
        <w:t>VS Kantonsgericht, 2025-09-05, FR</w:t>
      </w:r>
    </w:p>
    <w:p>
      <w:r>
        <w:rPr>
          <w:b/>
        </w:rPr>
        <w:t xml:space="preserve">Quelle: </w:t>
      </w:r>
      <w:r>
        <w:t>https://mcp.opencaselaw.ch/entscheid/vs_gerichte_A3 24 20</w:t>
      </w:r>
    </w:p>
    <w:p>
      <w:r>
        <w:t>FR: VS_GERICHTE A3 24 20 du 5 septembre 2025</w:t>
      </w:r>
    </w:p>
    <w:p>
      <w:r>
        <w:t>IT: VS_GERICHTE A3 24 20 del 5 settembre 2025</w:t>
      </w:r>
    </w:p>
    <w:p>
      <w:pPr>
        <w:pStyle w:val="Heading2"/>
      </w:pPr>
      <w:r>
        <w:t>Regeste</w:t>
      </w:r>
    </w:p>
    <w:p>
      <w:r>
        <w:t>A3 24 20 ARRÊT DU 5 SEPTEMBRE 2025 Tribunal cantonal du Valais Cour de droit public La juge suppléante soussignée de la Cour de droit public du Tribunal cantonal statuant ce jour en appel sur la base de l’article 34m LPJA en relation avec l’article 1 al. 1 a contrario et avec les articles 398 ss CPP ; en la cause X _________ SÀRL, appelante, représentée par Maître Philippe Loretan, avocat, 1950 Sion 2 Nord contre ADMINISTRATION COMMUNALE DE Y _________, autorité attaquée (Contravention à la LC) recours de droit administratif contre la décision du 7 octobre 2024</w:t>
      </w:r>
    </w:p>
    <w:p>
      <w:pPr>
        <w:pStyle w:val="Heading2"/>
      </w:pPr>
      <w:r>
        <w:t>Erwägungen</w:t>
      </w:r>
    </w:p>
    <w:p>
      <w:r>
        <w:rPr>
          <w:b/>
        </w:rPr>
        <w:t>E. 1</w:t>
      </w:r>
    </w:p>
    <w:p>
      <w:r>
        <w:t>L’appel du 30 octobre 2024, déposé en temps utile auprès d’un juge unique de la Cour de droit public du Tribunal cantonal par la société à qui une amende a été infligée, est recevable (articles 34l et 34m lit. a et b LPJA ; art. 20 al. 3 LOJ ; art. 399 CPP).</w:t>
      </w:r>
    </w:p>
    <w:p>
      <w:r>
        <w:rPr>
          <w:b/>
        </w:rPr>
        <w:t>E. 2</w:t>
      </w:r>
    </w:p>
    <w:p>
      <w:r>
        <w:t>Le Conseil communal a déposé son dossier, la demande de l’appelante en ce sens est donc satisfaite (art. 80 al. 1 let. d, 56 al. 1 et 17 al. 2 LPJA). Elle s’est également réservée l’administration d’une expertise, ainsi que l’édition, par la Commune, de « l’ensemble des demandes de permis de construire sur la parcelle n° xxx » et de « l’ensemble du dossier complet de la mise à l’enquête publique relatif au projet initial ». Il n’y a pas lieu de donner suite à ces moyens de preuve « réservés » dès lors que le dossier est suffisant pour trancher le fond du litige. L’appelante ne démontre, au demeurant, pas en quoi l’administration de ces moyens de preuve serait de nature à influer sur la décision à rendre. Il y est dès lors renoncé par appréciation anticipée (ATF 145 I 73 consid. 7.2.2.1).</w:t>
      </w:r>
    </w:p>
    <w:p>
      <w:r>
        <w:rPr>
          <w:b/>
        </w:rPr>
        <w:t>E. 3</w:t>
      </w:r>
    </w:p>
    <w:p>
      <w:r>
        <w:t>A la forme, l’appelante invoque une violation de son droit d’être entendu (art. 29 al. 2 Cst.). Elle reproche au Conseil communal de ne pas avoir motivé sa décision à satisfaction de droit.</w:t>
      </w:r>
    </w:p>
    <w:p>
      <w:r>
        <w:rPr>
          <w:b/>
        </w:rPr>
        <w:t>E. 3.1</w:t>
      </w:r>
    </w:p>
    <w:p>
      <w:r>
        <w:t>La jurisprudence a déduit de l'article 29 al. 2 Cst., qui garantit le droit d'être entendu, le devoir pour l'autorité de motiver sa décision afin que le destinataire puisse la comprendre, la contester utilement s'il y a lieu et que l'autorité de recours puisse exercer son contrôle. Pour répondre à ces exigences, il suffit que le juge ou l'autorité mentionne, au moins brièvement, les motifs qui les ont guidés et sur lesquels ils ont fondé leur décision (ATF 146 II 335 consid. 5.1), de manière que l'intéressé puisse se rendre compte de la portée de celle-ci et l'attaquer en connaissance de cause (ATF 143 IV 40 consid. 3.4.3). Il n'est en revanche pas nécessaire que l'autorité se prononce expressément sur tous les points soulevés par les parties et réfute individuellement chacun de leurs arguments ; elle peut, au contraire, se limiter à l'examen des questions décisives pour l'issue du litige (art. 29 al. 3 LPJA ; ATF 147 IV 249 consid. 2.4 ; arrêt du Tribunal fédéral 8C_80/2023 du 14 août 2023 consid. 5.2.1). Une motivation peut être considérée comme suffisante lorsque l’intéressé est en mesure de se rendre compte de la décision et de la déférer à l’instance supérieure en pleine</w:t>
      </w:r>
    </w:p>
    <w:p>
      <w:r>
        <w:t>- 8 - connaissance de cause (BOVAY, Procédure administrative, 2e éd. 2015, p. 364 s.). La motivation peut d’ailleurs être implicite et résulter des différents considérants de la décision (ATF 141 V 557 consid. 3.2.1 ; arrêt du Tribunal fédéral 9C_549/2023 du 25 octobre 2023 consid. 4.2.1).</w:t>
      </w:r>
    </w:p>
    <w:p>
      <w:r>
        <w:rPr>
          <w:b/>
        </w:rPr>
        <w:t>E. 3.2</w:t>
      </w:r>
    </w:p>
    <w:p>
      <w:r>
        <w:t>En l’occurrence, même si l’on doit admettre que la motivation de la décision est plutôt sommaire, l’on ne saurait suivre l’appelante lorsqu’elle soutient que celle-ci l’aurait empêchée de « comprendre les raisons spécifiques ayant conduit à cette sanction ». En effet, cette critique est infondée dès lors qu’il ressort de la décision querellée que celle- ci a été prononcée en raison de « l’exécution non conforme pour le mur inférieur et sans demande d’autorisation de construire pour le mur supérieur », infractions ayant conduit cette autorité à ouvrir une procédure ordinaire de droit pénal administratif en matière de construction, ce dont l’intéressée avait été dûment informée (cf. courrier du 26 juin 2023). De plus, la décision attaquée se réfère à la séance tenue le 4 juillet 2024, à laquelle l’appelante a participé, et dont le procès-verbal met notamment en exergue que « la Commission s’est retrouvée sur un fait accompli et esthétiquement, cela ne convenait pas », quand bien même elle était « consciente du point de vue sécuritaire ». En outre, il y est précisé que, « selon le barème des amendes, le montant des infractions se monte à CHF 14'000.- qui comprend 2 points, soit le fait d’une non autorisation et le visuel ». A cet égard, il a été porté à la connaissance de l’appelante que la Commission aurait refusé la matière utilisée pour la construction illicite en cas de demande préalable et aurait exigé la pose d’un « textomur ou un autre matériaux (style bac "Heinzmann", etc.) », changement qui, selon cette dernière, aurait été plus onéreux que l’amende. Il s’ensuit que l’appelante a été à même de comprendre les reproches qui lui étaient formulés, ce qui ressort également de sa motivation céans. Par ailleurs, rien au dossier ne permet de conclure, comme le soutient l’intéressée, que la Commune aurait écarté ses explications, ce d’autant plus que la décision contestée se réfère explicitement aux observations formulées par celle-ci au point 3 du formulaire, ainsi qu’à la séance du 4 juillet 2024. Enfin, l’appelante reproche au Conseil communal d’avoir indiqué une voie de droit erronée dans sa décision du 1er mai 2024, ce qui l’aurait privée « de la pleine conscience de ses droits procéduraux à ce moment-là ». Il ne saurait être donné suite à ce grief dès lors que la décision attaquée céans est celle du 7 octobre 2024, et non celle précitée. Mal-fondé, le grief tiré d’une violation du droit d’être entendu doit être rejeté.</w:t>
      </w:r>
    </w:p>
    <w:p>
      <w:r>
        <w:t>- 9 -</w:t>
      </w:r>
    </w:p>
    <w:p>
      <w:r>
        <w:rPr>
          <w:b/>
        </w:rPr>
        <w:t>E. 4</w:t>
      </w:r>
    </w:p>
    <w:p>
      <w:r>
        <w:t>X _________ Sàrl reproche au Conseil communal de l’avoir sanctionnée sans avoir, au préalable, envisagé la possibilité d’une régularisation de l’enrochement supérieur. Elle y voit une violation de l’article 57 al. 2 LC. Ce grief tombe à faux : le fait qu’une construction illicite puisse ultérieurement être régularisée n’empêche nullement l’autorité compétente d’infliger une amende. En effet, le droit public de la construction appréhende l’objet construit et tend à garantir, voire à rétablir l’ordre légal des constructions, tandis que le droit des sanctions se focalise sur le comportement du contrevenant et tend à le punir pour ce fait, respectivement à prévenir que d’autres administrés soient tentés d’en faire autant (ZUFFEREY, Droit public de la construction, 2024, n. 1010, p. 521). Or, en l’espèce, il n’est pas contesté que l’enrochement inférieur n’est pas conforme au permis de construire délivré (hauteur supplémentaire par rapport au plan autorisé ayant conduit à une violation de la distance à la limite) et que l’enrochement supérieur litigieux, dont la hauteur dépasse 1 m 50, a été exécuté sans autorisation de bâtir (art. 22 LAT ; art. 34 al. 1 LC ; art. 16 al. 1 let. c ch. 5 OC). Les travaux commis étaient ainsi illicites, ce qui suffit à justifier une sanction pénale, indépendamment de la possibilité d’une régularisation ultérieure. Il convient enfin de relever que, contrairement à ce que prétend l’appelante, la non-conformité des divers volets n’a pas été sanctionnée par la décision attaquée céans.</w:t>
      </w:r>
    </w:p>
    <w:p>
      <w:r>
        <w:rPr>
          <w:b/>
        </w:rPr>
        <w:t>E. 5</w:t>
      </w:r>
    </w:p>
    <w:p>
      <w:r>
        <w:t>L’appelante reproche à l’autorité communale d’avoir adopté un comportement contradictoire et désordonné en lui refusant l’utilisation d’une infrastructure communale existante (« route du Bas ») pour accéder à la parcelle litigieuse, tout en lui reprochant ultérieurement la réalisation d’un mur de soutènement. Ce raisonnement ne convainc pas vu que l’enrochement litigieux, érigé sans autorisation de construire, n’est pas celui longeant la « route du Bas », mais celui situé à hauteur de la bâtisse (enrochement supérieur). L’appelante fait également grief à la Commune d’avoir adopté un comportement contradictoire en approuvant les démarches de régularisation qu’elle avait entreprises, tout en la sanctionnant d’une amende. Ce faisant, elle opère, à nouveau, une confusion entre les deux procédures, distinctes, conduisant, pour l’une, à une décision de régularisation relavant de l’article 57 al. 2 LC, rendue par l’autorité compétente pour délivrer une autorisation de construire et, pour l’autre, à une décision rendue dans le cadre de la police des constructions. Le grief est ainsi rejeté.</w:t>
      </w:r>
    </w:p>
    <w:p>
      <w:r>
        <w:t>- 10 -</w:t>
      </w:r>
    </w:p>
    <w:p>
      <w:r>
        <w:rPr>
          <w:b/>
        </w:rPr>
        <w:t>E. 6</w:t>
      </w:r>
    </w:p>
    <w:p>
      <w:r>
        <w:t>Dans un dernier grief, l’appelante s’en prend au principe même de l’amende ainsi qu’à sa quotité qu’elle qualifie de disproportionnée.</w:t>
      </w:r>
    </w:p>
    <w:p>
      <w:r>
        <w:rPr>
          <w:b/>
        </w:rPr>
        <w:t>E. 6.1</w:t>
      </w:r>
    </w:p>
    <w:p>
      <w:r>
        <w:t>Il ressort du dossier que l’enrochement inférieur s’écarte de l’autorisation de construire délivrée alors que l’enrochement supérieur, d’une hauteur supérieure à 1m50, ne bénéficie, d’aucune autorisation de construire si bien qu’on ne saurait suivre l’appelante lorsqu’elle soutient que « les travaux s[eraient] pleinement conformes à l’esprit de l’autorisation de construire initialement délivrée ». Elle ne saurait davantage se prévaloir de sa bonne foi en invoquant que les « contraintes techniques et la nécessité de protéger la sécurité publique justifi[aient] des dérogations aux exigences initiales du permis de construire », sans avoir préalablement requis l’octroi d’une autorisation de construire (art. 22 LAT ; art. 34 al. 1 LC ; art. 16 al. 1 let. c ch. 5 OC) alors même qu’elle est active dans le domaine de la construction (cf. but social) et savait qu’une autorisation de construction était au préalable nécessaire, ce d’autant plus qu’un permis de bâtir avait déjà été requis pour l’enrochement inférieur. L’appelante estime que l’imposition d’une amende « inutilement punitive » serait « redondante et non nécessaire » dès lors que des mesures de régularisation, pour lesquelles l’intéressée aurait engagé « des coûts substantiels », seraient en cours. Ce faisant, l’appelante opère à nouveau une confusion entre les deux procédures distinctes (cf. supra consid. 4) et perd de vue que la régularisation des constructions illicites n’exempte pas son comportement fautif. Le principe d’une amende est ainsi justifié.</w:t>
      </w:r>
    </w:p>
    <w:p>
      <w:r>
        <w:rPr>
          <w:b/>
        </w:rPr>
        <w:t>E. 6.2</w:t>
      </w:r>
    </w:p>
    <w:p>
      <w:r>
        <w:t>L’article 61 al. 1 let. a LC, disposition qui l’emporte sur l’article 30 ch. 7 du RCC de la Commune de Y _________ depuis le 1er janvier 2018 (art. T1-1 al. 1 LC), prévoit qu’est puni par l’autorité compétente d’une amende de 1000 à 100'000 fr. celui qui en tant que responsable (notamment le propriétaire, le requérant, le responsable du projet, le maître d’ouvrage, l’architecte, l’ingénieur, le chef de chantier, l’entrepreneur) exécute ou fait exécuter des travaux sans autorisation ou avec autorisation non entrée en force, ne signale pas à l’autorité compétente le début et la fin des travaux, ne respecte pas les conditions et charges de l’autorisation octroyée, requiert une autorisation sur la base d’informations inexactes, habite, met en location ou utilise une construction ou une installation sans avoir obtenu le permis d’habiter ou d’utiliser, ne se soumet pas à des ordres de police des constructions qui lui sont adressés.</w:t>
      </w:r>
    </w:p>
    <w:p>
      <w:r>
        <w:rPr>
          <w:b/>
        </w:rPr>
        <w:t>E. 6.2.1</w:t>
      </w:r>
    </w:p>
    <w:p>
      <w:r>
        <w:t>La législation spéciale (dont parle l’articles 34l LPJA) ne contient pas de dispositions particulières concernant la réglementation des amendes - hormis le cadre pénal général -, raison pour laquelle il convient de se baser sur les dispositions générales</w:t>
      </w:r>
    </w:p>
    <w:p>
      <w:r>
        <w:t>- 11 - du code pénal (art. 71 al. 1 LACP). La procédure d'appel en matière de contraventions de droit cantonal est régie - sous réserve des dispositions de l'article 34m let. a à f LPJA - par le CPP (art. 34m LPJA ; art. 38 al. 2 let. a LACPP ; RVJ 2024 p. 37).</w:t>
      </w:r>
    </w:p>
    <w:p>
      <w:r>
        <w:rPr>
          <w:b/>
        </w:rPr>
        <w:t>E. 6.2.2</w:t>
      </w:r>
    </w:p>
    <w:p>
      <w:r>
        <w:t>Les amendes administratives ont un caractère pénal et doivent donc être fixées en tenant compte des principes du code pénal (arrêt du Tribunal fédéral 1P.531/2002 du 27 mars 2003 consid. 2.2 ; arrêt de la Chambre administrative du canton de Genève ATA/559/2021 du 25 mai 2021 consid. 7c ; TANQUEREL, Manuel de droit administratif, 2e éd. 2018, n. 1211 p. 414 ; MOOR/POLTIER, Droit administratif, Vol. II, 3e éd. 2011, ch. 1.4.5.5 p. 160), en particulier les articles 47 ss CP (RDAF 2013 I p. 80 consid. 5).</w:t>
      </w:r>
    </w:p>
    <w:p>
      <w:r>
        <w:rPr>
          <w:b/>
        </w:rPr>
        <w:t>E. 6.2.3</w:t>
      </w:r>
    </w:p>
    <w:p>
      <w:r>
        <w:t>Le juge détermine, conformément à l'article 106 al. 3 CP, le montant de l'amende en tenant compte de la situation de l’auteur afin que la peine corresponde à la faute commise. Le calcul de l'amende est par ailleurs régi par les règles générales de l'article 47 CP (en relation avec l'article 104 CP), selon lesquelles le juge tient compte, lors de la fixation de la peine, des antécédents et de la situation personnelle de l'auteur ainsi que des effets de la peine sur sa vie (art. 47 al. 1 CP). La culpabilité se détermine en fonction de la gravité de la violation ou de la mise en danger du bien juridique concerné, du caractère répréhensible de l'acte, des motifs et des objectifs de l'auteur, ainsi que de la mesure dans laquelle l'auteur était en mesure d'éviter l'infraction au vu des circonstances internes et externes (art. 47 al. 2 CP). Pour la fixation du montant de l'amende, sont déterminantes, en premier lieu, la faute de l’auteur et, en second lieu, sa situation financière. S’agissant plus particulièrement de violations au droit de la construction, la gravité de la faute s’apprécie au regard de l’ampleur et du coût des travaux réalisés sans autorisation (arrêt du Tribunal fédéral 1C_208/2020 du 16 octobre 2020 consid. 2.3.2). Il est nécessaire que le contrevenant ait commis une faute, que ce soit de manière intentionnelle, par dol ou par négligence (DUBEY/ZUFFEREY, Droit administratif général, 2014, n. 2259 p. 78 ; MOOR/POLTIER, op. cit., ch. 1.4.5.5 p. 161). L’amende doit également respecter le principe de proportionnalité (RVJ 2024, p. 38).</w:t>
      </w:r>
    </w:p>
    <w:p>
      <w:r>
        <w:rPr>
          <w:b/>
        </w:rPr>
        <w:t>E. 6.3</w:t>
      </w:r>
    </w:p>
    <w:p>
      <w:r>
        <w:t>En l’espèce, les considérations relatives à une violation du principe de proportionnalité en raison d’une absence de prise en compte « d’alternatives moins onéreuses » sont étrangères à ce qui vient d’être exposés (cf. supra 6.2.3) si bien qu’il n’a pas lieu d’y donner suite. S’agissant de la quotité de la peine, la décision attaquée se base sur un « barème indicatif pour la fixation des amendes », lequel distingue les infractions en fonction de</w:t>
      </w:r>
    </w:p>
    <w:p>
      <w:r>
        <w:t>- 12 - leur impact et de leur gravité. Le Conseil communal a estimé, en l’espèce, que l’appelante avait placé l’autorité devant le fait accompli en procédant à des travaux conséquents, dont l’impact visuel n’était pas négligeable. Ce raisonnement ne prête pas le flanc à la critique vu qu’il ressort du dossier que l’enrochement inférieur, d’une longueur de 45 mètres, n’est pas conforme au permis de construire délivré (hauteur supplémentaire par rapport au plan autorisé ayant conduit à une violation de la distance à la limite). L’on ne saurait dès lors retenir qu’il s’agit d’une irrégularité « mineure » comme le soutient l’appelante. Il en va de même pour l’enrochement supérieur, réalisé sans autorisation de construire, alors que sa hauteur dépasse 1m50 et qu’en cas de demande préalable, la pose d’un « textomur ou un autre matériaux (style bac "Heinzmann", etc.) aurait été exigée. L’appelante ne pouvait ignorer qu’une telle construction nécessitait l’octroi d’une autorisation de construire au préalable, ce qu’elle s’est volontairement abstenue de requérir. L’appelante a ainsi réalisé, avec conscience et volonté, des travaux importants (cf. dossier photographique) sans autorisation de construire, ce en violation des articles 22 LAT, 34 al. 1 LC et 16 al. 1 let. c ch. 5 OC. Il ne s’agit donc pas d’un cas de peu de gravité au sens de l’article 61 al. 1 LC. La faute de l’appelante est ainsi importante. Par ailleurs, eu égard au but de la société et au chiffre d’affaires réalisé (supérieur à 1.3 million), il peut être retenu que l’appelante dispose d’une expérience non négligeable dans le domaine de la construction, ce qui constitue un facteur aggravant de sa culpabilité. En outre, l’on ne saurait suivre l’appelante lorsqu’elle affirme avoir agi avec « diligence exemplaire » et de manière proactive. Certes, un dossier de régularisation a été déposé par rapport à l’enrochement inférieur, mais uniquement après plusieurs relances de la Commune (cf. courriers des 8 juillet 2021, 29 septembre 2021, 7 janvier 2022). Il en va de même s’agissant des renseignements requis dans le cadre de la procédure pénale administrative (cf. courriers des 26 juin 2023, 30 août 2023 et 31 janvier 2024). En outre, elle a maladroitement cherché à minimiser sa faute en évoquant des « problèmes techniques », dont elle est pourtant à l’origine, et est même allée à reporter la faute sur l’autorité communale qui l’aurait contrainte à trouver une « solution alternative ». Cela, alors qu’elle était consciente que « le 1er dossier déposé par A _________ était mal conçu » et qu’elle souhaitait le « modifier complètement », mais y a renoncé en raison de la « courte échéance avant la caducité de l’autorisation » et du risque que de « trop de [nombreuses] modifications » auraient nécessité « une nouvelle demande […] avec [un] grand risque d’opposition de H _________ » (cf. procès-verbal du 4 juillet 2024). Il</w:t>
      </w:r>
    </w:p>
    <w:p>
      <w:r>
        <w:t>- 13 - ressort ainsi que le mobile de l’appelante consistait ainsi à réaliser rapidement une construction, en dépit du cadre légal, ce qui est égoïste et blâmable. Sa culpabilité est donc plutôt lourde. Enfin, contrairement à ce qu’elle soutient, le Conseil communal s’est enquis de sa situation financière. Il pouvait ainsi valablement retenir, au vu des pièces produites, que l’amende de 14’000 fr. ne représentait pas une dépense susceptible de remettre en question sa pérennité, ce que l’appelante ne prétend d’ailleurs pas. A juste titre dès lors que ses capitaux propres s’élèvent à plus de 130'000 fr. et que le bénéfice reporté (supérieur à 95’ 000 fr.), auquel s’ajoute le bénéfice de l’exercice (supérieur à 8000 fr.), couvre largement la moitié du capital social. Au vu de ce qui précède, la juge de céans estime que l’amende infligée par la Commune n’est pas excessive. Elle apparaît proportionnée au regard des deux infractions commises par l’appelante, de sorte que la décision attaquée doit être confirmée.</w:t>
      </w:r>
    </w:p>
    <w:p>
      <w:r>
        <w:rPr>
          <w:b/>
        </w:rPr>
        <w:t>E. 7</w:t>
      </w:r>
    </w:p>
    <w:p>
      <w:r>
        <w:t>Sur le vu des considérations qui précèdent, l’appel est rejeté et, par voie de conséquence, le prononcé pénal administratif du 7 octobre 2024 est confirmé. Il s’ensuit que les frais de la présente procédure doivent être mis à la charge de l’appelante puisqu’elle a qualité de partie qui succombe (art. 428 al. 1 CPP). Ces frais sont fixés, eu égard principalement aux principes de la couverture des frais et de l’équivalence des prestations à (débours compris) 1000 fr. (art. 3, 13 al. 1 et 2 et 22 let. f LTar).</w:t>
      </w:r>
    </w:p>
    <w:p>
      <w:r>
        <w:t>Par ces motifs, la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